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4D" w:rsidRDefault="007A184D">
      <w:pPr>
        <w:rPr>
          <w:rFonts w:ascii="Times New Roman" w:eastAsia="Times New Roman" w:hAnsi="Times New Roman" w:cs="Times New Roman"/>
          <w:sz w:val="20"/>
          <w:szCs w:val="20"/>
        </w:rPr>
      </w:pPr>
    </w:p>
    <w:p w:rsidR="007A184D" w:rsidRDefault="007A184D">
      <w:pPr>
        <w:spacing w:before="9"/>
        <w:rPr>
          <w:rFonts w:ascii="Times New Roman" w:eastAsia="Times New Roman" w:hAnsi="Times New Roman" w:cs="Times New Roman"/>
          <w:sz w:val="16"/>
          <w:szCs w:val="16"/>
        </w:rPr>
      </w:pPr>
    </w:p>
    <w:p w:rsidR="00EE05AF" w:rsidRPr="009E00E7" w:rsidRDefault="00EE05AF" w:rsidP="00EE05AF">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EE05AF" w:rsidRPr="009E00E7" w:rsidRDefault="00EE05AF" w:rsidP="00EE05AF">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Pr>
          <w:sz w:val="36"/>
          <w:szCs w:val="36"/>
        </w:rPr>
        <w:t xml:space="preserve"> Headache and neck pain</w:t>
      </w:r>
    </w:p>
    <w:p w:rsidR="00EE05AF" w:rsidRDefault="00EE05AF" w:rsidP="00EE05AF">
      <w:pPr>
        <w:spacing w:before="45"/>
        <w:ind w:left="100"/>
        <w:jc w:val="center"/>
        <w:rPr>
          <w:rFonts w:ascii="Times New Roman"/>
          <w:sz w:val="28"/>
        </w:rPr>
      </w:pPr>
      <w:r w:rsidRPr="009E00E7">
        <w:rPr>
          <w:rFonts w:ascii="Times New Roman" w:eastAsia="Times New Roman" w:hAnsi="Times New Roman" w:cs="Times New Roman"/>
          <w:sz w:val="36"/>
          <w:szCs w:val="36"/>
        </w:rPr>
        <w:t>Lind</w:t>
      </w:r>
      <w:bookmarkStart w:id="0" w:name="_GoBack"/>
      <w:bookmarkEnd w:id="0"/>
      <w:r w:rsidRPr="009E00E7">
        <w:rPr>
          <w:rFonts w:ascii="Times New Roman" w:eastAsia="Times New Roman" w:hAnsi="Times New Roman" w:cs="Times New Roman"/>
          <w:sz w:val="36"/>
          <w:szCs w:val="36"/>
        </w:rPr>
        <w:t xml:space="preserve">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FC1448" w:rsidRDefault="00FC1448">
      <w:pPr>
        <w:pStyle w:val="Heading1"/>
        <w:spacing w:before="64"/>
        <w:ind w:right="77"/>
      </w:pPr>
    </w:p>
    <w:p w:rsidR="007A184D" w:rsidRDefault="00FC1448">
      <w:pPr>
        <w:pStyle w:val="BodyText"/>
        <w:spacing w:before="212" w:line="242" w:lineRule="auto"/>
        <w:ind w:right="77"/>
      </w:pPr>
      <w:r>
        <w:rPr>
          <w:rFonts w:ascii="Times New Roman"/>
        </w:rPr>
        <w:t xml:space="preserve">Abstract: </w:t>
      </w:r>
      <w:r>
        <w:t xml:space="preserve">A case study of a 32 </w:t>
      </w:r>
      <w:proofErr w:type="spellStart"/>
      <w:r>
        <w:t>y.o</w:t>
      </w:r>
      <w:proofErr w:type="spellEnd"/>
      <w:r>
        <w:t>. female suffering from headache and neck pain after a MVA with resolved using neural manipulation</w:t>
      </w:r>
      <w:r>
        <w:rPr>
          <w:spacing w:val="-14"/>
        </w:rPr>
        <w:t xml:space="preserve"> </w:t>
      </w:r>
      <w:r>
        <w:t>techniques.</w:t>
      </w:r>
    </w:p>
    <w:p w:rsidR="007A184D" w:rsidRDefault="00FC1448">
      <w:pPr>
        <w:pStyle w:val="BodyText"/>
        <w:spacing w:before="196"/>
        <w:ind w:right="77"/>
      </w:pPr>
      <w:r>
        <w:rPr>
          <w:rFonts w:ascii="Times New Roman"/>
        </w:rPr>
        <w:t xml:space="preserve">Key Words: </w:t>
      </w:r>
      <w:r>
        <w:t>Pain and neural</w:t>
      </w:r>
      <w:r>
        <w:rPr>
          <w:spacing w:val="15"/>
        </w:rPr>
        <w:t xml:space="preserve"> </w:t>
      </w:r>
      <w:r>
        <w:t>manipulation</w:t>
      </w:r>
    </w:p>
    <w:p w:rsidR="007A184D" w:rsidRDefault="00FC1448">
      <w:pPr>
        <w:pStyle w:val="BodyText"/>
        <w:spacing w:before="199"/>
        <w:ind w:left="154" w:right="77"/>
      </w:pPr>
      <w:r>
        <w:rPr>
          <w:rFonts w:ascii="Times New Roman"/>
        </w:rPr>
        <w:t>Date:</w:t>
      </w:r>
      <w:r>
        <w:rPr>
          <w:rFonts w:ascii="Times New Roman"/>
          <w:spacing w:val="10"/>
        </w:rPr>
        <w:t xml:space="preserve"> </w:t>
      </w:r>
      <w:r>
        <w:t>09/13/17</w:t>
      </w:r>
    </w:p>
    <w:p w:rsidR="007A184D" w:rsidRDefault="00FC1448">
      <w:pPr>
        <w:pStyle w:val="BodyText"/>
        <w:spacing w:before="201"/>
        <w:ind w:right="77"/>
      </w:pPr>
      <w:r>
        <w:rPr>
          <w:rFonts w:ascii="Times New Roman"/>
        </w:rPr>
        <w:t xml:space="preserve">Diagnosis:  </w:t>
      </w:r>
      <w:r>
        <w:t>Neck and Headache</w:t>
      </w:r>
      <w:r>
        <w:rPr>
          <w:spacing w:val="-34"/>
        </w:rPr>
        <w:t xml:space="preserve"> </w:t>
      </w:r>
      <w:r>
        <w:t>pain</w:t>
      </w:r>
    </w:p>
    <w:p w:rsidR="007A184D" w:rsidRDefault="00FC1448">
      <w:pPr>
        <w:pStyle w:val="BodyText"/>
        <w:spacing w:before="199"/>
        <w:ind w:right="77"/>
      </w:pPr>
      <w:r>
        <w:rPr>
          <w:rFonts w:ascii="Times New Roman"/>
        </w:rPr>
        <w:t xml:space="preserve">History: </w:t>
      </w:r>
      <w:r>
        <w:t>Patient reports that she was rear-ended on March 7, 2017 resulting in neck stiffness and pain as well as headache pain. She is a young mother and needs to be able to lift her children and this activity is painful. Her sleep is also disturbed and she is unable to exercise due to the pain. Pain is currently a constant at least 3/10 but has gotten up to 10/10 in neck and headache.  Past medical history includes a C-section about 2 years ago.  No pain</w:t>
      </w:r>
      <w:r>
        <w:rPr>
          <w:spacing w:val="-30"/>
        </w:rPr>
        <w:t xml:space="preserve"> </w:t>
      </w:r>
      <w:r>
        <w:t>meds.</w:t>
      </w:r>
    </w:p>
    <w:p w:rsidR="007A184D" w:rsidRDefault="00FC1448">
      <w:pPr>
        <w:pStyle w:val="BodyText"/>
        <w:spacing w:before="201"/>
        <w:ind w:right="77"/>
      </w:pPr>
      <w:r>
        <w:t xml:space="preserve">Functional outcome measure to </w:t>
      </w:r>
      <w:proofErr w:type="spellStart"/>
      <w:r>
        <w:t>Cx</w:t>
      </w:r>
      <w:proofErr w:type="spellEnd"/>
      <w:r>
        <w:t>/T spine is</w:t>
      </w:r>
      <w:r>
        <w:rPr>
          <w:spacing w:val="-18"/>
        </w:rPr>
        <w:t xml:space="preserve"> </w:t>
      </w:r>
      <w:r>
        <w:t>68%.</w:t>
      </w:r>
    </w:p>
    <w:p w:rsidR="007A184D" w:rsidRDefault="00FC1448">
      <w:pPr>
        <w:pStyle w:val="BodyText"/>
        <w:spacing w:before="203"/>
        <w:ind w:right="77"/>
        <w:rPr>
          <w:rFonts w:ascii="Times New Roman" w:eastAsia="Times New Roman" w:hAnsi="Times New Roman" w:cs="Times New Roman"/>
        </w:rPr>
      </w:pPr>
      <w:r>
        <w:rPr>
          <w:rFonts w:ascii="Times New Roman"/>
        </w:rPr>
        <w:t>Objective</w:t>
      </w:r>
      <w:r>
        <w:rPr>
          <w:rFonts w:ascii="Times New Roman"/>
          <w:spacing w:val="49"/>
        </w:rPr>
        <w:t xml:space="preserve"> </w:t>
      </w:r>
      <w:r>
        <w:rPr>
          <w:rFonts w:ascii="Times New Roman"/>
        </w:rPr>
        <w:t>Assessment</w:t>
      </w:r>
    </w:p>
    <w:p w:rsidR="007A184D" w:rsidRDefault="00FC1448">
      <w:pPr>
        <w:pStyle w:val="BodyText"/>
        <w:spacing w:before="214"/>
        <w:ind w:right="77"/>
      </w:pPr>
      <w:r>
        <w:rPr>
          <w:rFonts w:ascii="Times New Roman"/>
        </w:rPr>
        <w:t xml:space="preserve">Posture: </w:t>
      </w:r>
      <w:r>
        <w:t>Patient has a forward head/rounded shoulder posture with bilateral scapulae abducted.</w:t>
      </w:r>
    </w:p>
    <w:p w:rsidR="007A184D" w:rsidRDefault="00FC1448">
      <w:pPr>
        <w:spacing w:before="203"/>
        <w:ind w:left="100" w:right="77"/>
        <w:rPr>
          <w:rFonts w:ascii="Times New Roman" w:eastAsia="Times New Roman" w:hAnsi="Times New Roman" w:cs="Times New Roman"/>
        </w:rPr>
      </w:pPr>
      <w:r>
        <w:rPr>
          <w:rFonts w:ascii="Times New Roman"/>
        </w:rPr>
        <w:t>Active Cervical</w:t>
      </w:r>
      <w:r>
        <w:rPr>
          <w:rFonts w:ascii="Times New Roman"/>
          <w:spacing w:val="-45"/>
        </w:rPr>
        <w:t xml:space="preserve"> </w:t>
      </w:r>
      <w:r>
        <w:rPr>
          <w:rFonts w:ascii="Times New Roman"/>
        </w:rPr>
        <w:t>ROM</w:t>
      </w:r>
    </w:p>
    <w:p w:rsidR="007A184D" w:rsidRDefault="007A184D">
      <w:pPr>
        <w:spacing w:before="2"/>
        <w:rPr>
          <w:rFonts w:ascii="Times New Roman" w:eastAsia="Times New Roman" w:hAnsi="Times New Roman" w:cs="Times New Roman"/>
          <w:sz w:val="18"/>
          <w:szCs w:val="18"/>
        </w:rPr>
      </w:pPr>
    </w:p>
    <w:p w:rsidR="007A184D" w:rsidRDefault="00FC1448">
      <w:pPr>
        <w:spacing w:line="348" w:lineRule="auto"/>
        <w:ind w:left="820" w:right="6013"/>
        <w:rPr>
          <w:rFonts w:ascii="Calibri" w:eastAsia="Calibri" w:hAnsi="Calibri" w:cs="Calibri"/>
        </w:rPr>
      </w:pPr>
      <w:r>
        <w:rPr>
          <w:rFonts w:ascii="Calibri"/>
        </w:rPr>
        <w:t>Forward bending: 20 degrees Backward bending:  1/3</w:t>
      </w:r>
      <w:r>
        <w:rPr>
          <w:rFonts w:ascii="Calibri"/>
          <w:spacing w:val="-9"/>
        </w:rPr>
        <w:t xml:space="preserve"> </w:t>
      </w:r>
      <w:r>
        <w:rPr>
          <w:rFonts w:ascii="Calibri"/>
        </w:rPr>
        <w:t>range</w:t>
      </w:r>
    </w:p>
    <w:p w:rsidR="007A184D" w:rsidRDefault="00FC1448">
      <w:pPr>
        <w:spacing w:line="348" w:lineRule="auto"/>
        <w:ind w:left="820" w:right="4480"/>
        <w:jc w:val="both"/>
        <w:rPr>
          <w:rFonts w:ascii="Calibri" w:eastAsia="Calibri" w:hAnsi="Calibri" w:cs="Calibri"/>
        </w:rPr>
      </w:pPr>
      <w:r>
        <w:rPr>
          <w:rFonts w:ascii="Calibri"/>
        </w:rPr>
        <w:t xml:space="preserve">Rotation Rt. is 45 degrees and Lt. is 40 degrees Side </w:t>
      </w:r>
      <w:proofErr w:type="gramStart"/>
      <w:r>
        <w:rPr>
          <w:rFonts w:ascii="Calibri"/>
        </w:rPr>
        <w:t>bend</w:t>
      </w:r>
      <w:proofErr w:type="gramEnd"/>
      <w:r>
        <w:rPr>
          <w:rFonts w:ascii="Calibri"/>
        </w:rPr>
        <w:t xml:space="preserve"> Rt. is 5 degrees and Lt. is 10</w:t>
      </w:r>
      <w:r>
        <w:rPr>
          <w:rFonts w:ascii="Calibri"/>
          <w:spacing w:val="-14"/>
        </w:rPr>
        <w:t xml:space="preserve"> </w:t>
      </w:r>
      <w:r>
        <w:rPr>
          <w:rFonts w:ascii="Calibri"/>
        </w:rPr>
        <w:t xml:space="preserve">degrees. A shoulder flexion is to 140 degrees </w:t>
      </w:r>
      <w:proofErr w:type="spellStart"/>
      <w:r>
        <w:rPr>
          <w:rFonts w:ascii="Calibri"/>
        </w:rPr>
        <w:t>Rt</w:t>
      </w:r>
      <w:proofErr w:type="spellEnd"/>
      <w:r>
        <w:rPr>
          <w:rFonts w:ascii="Calibri"/>
        </w:rPr>
        <w:t xml:space="preserve"> and</w:t>
      </w:r>
      <w:r>
        <w:rPr>
          <w:rFonts w:ascii="Calibri"/>
          <w:spacing w:val="-13"/>
        </w:rPr>
        <w:t xml:space="preserve"> </w:t>
      </w:r>
      <w:r>
        <w:rPr>
          <w:rFonts w:ascii="Calibri"/>
        </w:rPr>
        <w:t>LT.</w:t>
      </w:r>
    </w:p>
    <w:p w:rsidR="007A184D" w:rsidRDefault="00FC1448">
      <w:pPr>
        <w:spacing w:line="348" w:lineRule="auto"/>
        <w:ind w:left="820" w:right="3087"/>
        <w:rPr>
          <w:rFonts w:ascii="Calibri" w:eastAsia="Calibri" w:hAnsi="Calibri" w:cs="Calibri"/>
        </w:rPr>
      </w:pPr>
      <w:r>
        <w:rPr>
          <w:rFonts w:ascii="Calibri"/>
        </w:rPr>
        <w:t>Seated thoracic rotation is to 20 degrees Rt. and 25 degrees</w:t>
      </w:r>
      <w:r>
        <w:rPr>
          <w:rFonts w:ascii="Calibri"/>
          <w:spacing w:val="-20"/>
        </w:rPr>
        <w:t xml:space="preserve"> </w:t>
      </w:r>
      <w:r>
        <w:rPr>
          <w:rFonts w:ascii="Calibri"/>
        </w:rPr>
        <w:t xml:space="preserve">Lt. Jaw opening is </w:t>
      </w:r>
      <w:proofErr w:type="gramStart"/>
      <w:r>
        <w:rPr>
          <w:rFonts w:ascii="Calibri"/>
        </w:rPr>
        <w:t>WFL  but</w:t>
      </w:r>
      <w:proofErr w:type="gramEnd"/>
      <w:r>
        <w:rPr>
          <w:rFonts w:ascii="Calibri"/>
        </w:rPr>
        <w:t xml:space="preserve"> jaw deviates Rt. on</w:t>
      </w:r>
      <w:r>
        <w:rPr>
          <w:rFonts w:ascii="Calibri"/>
          <w:spacing w:val="-16"/>
        </w:rPr>
        <w:t xml:space="preserve"> </w:t>
      </w:r>
      <w:r>
        <w:rPr>
          <w:rFonts w:ascii="Calibri"/>
        </w:rPr>
        <w:t>opening.</w:t>
      </w:r>
    </w:p>
    <w:p w:rsidR="007A184D" w:rsidRDefault="00FC1448">
      <w:pPr>
        <w:spacing w:line="268" w:lineRule="exact"/>
        <w:ind w:left="820"/>
        <w:jc w:val="both"/>
        <w:rPr>
          <w:rFonts w:ascii="Calibri" w:eastAsia="Calibri" w:hAnsi="Calibri" w:cs="Calibri"/>
        </w:rPr>
      </w:pPr>
      <w:r>
        <w:rPr>
          <w:rFonts w:ascii="Calibri"/>
        </w:rPr>
        <w:t>Sub occipital nod:  0</w:t>
      </w:r>
      <w:r>
        <w:rPr>
          <w:rFonts w:ascii="Calibri"/>
          <w:spacing w:val="-11"/>
        </w:rPr>
        <w:t xml:space="preserve"> </w:t>
      </w:r>
      <w:r>
        <w:rPr>
          <w:rFonts w:ascii="Calibri"/>
        </w:rPr>
        <w:t>degrees</w:t>
      </w:r>
    </w:p>
    <w:p w:rsidR="007A184D" w:rsidRDefault="00FC1448">
      <w:pPr>
        <w:spacing w:before="120" w:line="345" w:lineRule="auto"/>
        <w:ind w:left="820" w:right="4068"/>
        <w:rPr>
          <w:rFonts w:ascii="Calibri" w:eastAsia="Calibri" w:hAnsi="Calibri" w:cs="Calibri"/>
        </w:rPr>
      </w:pPr>
      <w:r>
        <w:rPr>
          <w:rFonts w:ascii="Times New Roman"/>
        </w:rPr>
        <w:t xml:space="preserve">Strength: </w:t>
      </w:r>
      <w:r>
        <w:rPr>
          <w:rFonts w:ascii="Calibri"/>
        </w:rPr>
        <w:t>Weakness of deep neck flexors at 3/5 Neck Extensors 4/5 with pain</w:t>
      </w:r>
      <w:r>
        <w:rPr>
          <w:rFonts w:ascii="Calibri"/>
          <w:spacing w:val="-12"/>
        </w:rPr>
        <w:t xml:space="preserve"> </w:t>
      </w:r>
      <w:r>
        <w:rPr>
          <w:rFonts w:ascii="Calibri"/>
        </w:rPr>
        <w:t>limiting</w:t>
      </w:r>
    </w:p>
    <w:p w:rsidR="007A184D" w:rsidRDefault="00FC1448">
      <w:pPr>
        <w:spacing w:before="2"/>
        <w:ind w:left="820"/>
        <w:jc w:val="both"/>
        <w:rPr>
          <w:rFonts w:ascii="Calibri" w:eastAsia="Calibri" w:hAnsi="Calibri" w:cs="Calibri"/>
        </w:rPr>
      </w:pPr>
      <w:r>
        <w:rPr>
          <w:rFonts w:ascii="Calibri"/>
        </w:rPr>
        <w:t>Weakness of scapular stabilizers:  Rhomboids:  4/5; mid traps 3+/5: lower traps</w:t>
      </w:r>
      <w:r>
        <w:rPr>
          <w:rFonts w:ascii="Calibri"/>
          <w:spacing w:val="-30"/>
        </w:rPr>
        <w:t xml:space="preserve"> </w:t>
      </w:r>
      <w:r>
        <w:rPr>
          <w:rFonts w:ascii="Calibri"/>
        </w:rPr>
        <w:t>3/5</w:t>
      </w:r>
    </w:p>
    <w:p w:rsidR="007A184D" w:rsidRDefault="00FC1448">
      <w:pPr>
        <w:spacing w:before="120" w:line="350" w:lineRule="auto"/>
        <w:ind w:left="820" w:right="77"/>
        <w:rPr>
          <w:rFonts w:ascii="Calibri" w:eastAsia="Calibri" w:hAnsi="Calibri" w:cs="Calibri"/>
        </w:rPr>
      </w:pPr>
      <w:r>
        <w:rPr>
          <w:rFonts w:ascii="Calibri"/>
        </w:rPr>
        <w:t xml:space="preserve">Neuro: (+) </w:t>
      </w:r>
      <w:proofErr w:type="spellStart"/>
      <w:r>
        <w:rPr>
          <w:rFonts w:ascii="Calibri"/>
        </w:rPr>
        <w:t>dural</w:t>
      </w:r>
      <w:proofErr w:type="spellEnd"/>
      <w:r>
        <w:rPr>
          <w:rFonts w:ascii="Calibri"/>
        </w:rPr>
        <w:t xml:space="preserve"> tension and into brachial plexuses generally as well as occipital nerve tension. Cervical Quadrant testing is (+) Rt. and</w:t>
      </w:r>
      <w:r>
        <w:rPr>
          <w:rFonts w:ascii="Calibri"/>
          <w:spacing w:val="-14"/>
        </w:rPr>
        <w:t xml:space="preserve"> </w:t>
      </w:r>
      <w:r>
        <w:rPr>
          <w:rFonts w:ascii="Calibri"/>
        </w:rPr>
        <w:t>Lt.</w:t>
      </w:r>
    </w:p>
    <w:p w:rsidR="007A184D" w:rsidRDefault="007A184D">
      <w:pPr>
        <w:spacing w:line="350" w:lineRule="auto"/>
        <w:rPr>
          <w:rFonts w:ascii="Calibri" w:eastAsia="Calibri" w:hAnsi="Calibri" w:cs="Calibri"/>
        </w:rPr>
        <w:sectPr w:rsidR="007A184D">
          <w:type w:val="continuous"/>
          <w:pgSz w:w="12240" w:h="15840"/>
          <w:pgMar w:top="1500" w:right="1380" w:bottom="280" w:left="1340" w:header="720" w:footer="720" w:gutter="0"/>
          <w:cols w:space="720"/>
        </w:sectPr>
      </w:pPr>
    </w:p>
    <w:p w:rsidR="007A184D" w:rsidRDefault="00FC1448">
      <w:pPr>
        <w:pStyle w:val="Heading1"/>
        <w:ind w:right="109"/>
      </w:pPr>
      <w:r>
        <w:rPr>
          <w:w w:val="110"/>
        </w:rPr>
        <w:lastRenderedPageBreak/>
        <w:t>Treatment:</w:t>
      </w:r>
    </w:p>
    <w:p w:rsidR="007A184D" w:rsidRDefault="00FC1448">
      <w:pPr>
        <w:pStyle w:val="BodyText"/>
        <w:spacing w:before="215"/>
        <w:ind w:right="109"/>
      </w:pPr>
      <w:r>
        <w:t>Patient was assessed prior to treatment with a local listening as well as a listening at the</w:t>
      </w:r>
      <w:r>
        <w:rPr>
          <w:spacing w:val="-33"/>
        </w:rPr>
        <w:t xml:space="preserve"> </w:t>
      </w:r>
      <w:r>
        <w:t xml:space="preserve">Vertex and RCPM prior to treatment and the listening determined target tissues. Patient was treated with neural manipulation techniques to occipital nerves and brachial plexuses as well as into distal arm neural tension. Tentorium cerebelli and </w:t>
      </w:r>
      <w:proofErr w:type="spellStart"/>
      <w:r>
        <w:t>Falx</w:t>
      </w:r>
      <w:proofErr w:type="spellEnd"/>
      <w:r>
        <w:t xml:space="preserve"> </w:t>
      </w:r>
      <w:proofErr w:type="spellStart"/>
      <w:r>
        <w:t>Cerebri</w:t>
      </w:r>
      <w:proofErr w:type="spellEnd"/>
      <w:r>
        <w:t xml:space="preserve"> are also treated as well, as neural manipulation of </w:t>
      </w:r>
      <w:proofErr w:type="spellStart"/>
      <w:proofErr w:type="gramStart"/>
      <w:r>
        <w:t>Vagus</w:t>
      </w:r>
      <w:proofErr w:type="spellEnd"/>
      <w:r>
        <w:t xml:space="preserve"> ,</w:t>
      </w:r>
      <w:proofErr w:type="gramEnd"/>
      <w:r>
        <w:t xml:space="preserve"> Phrenic and branches of Trigeminal and Facial</w:t>
      </w:r>
      <w:r>
        <w:rPr>
          <w:spacing w:val="-27"/>
        </w:rPr>
        <w:t xml:space="preserve"> </w:t>
      </w:r>
      <w:r>
        <w:t>nerves.</w:t>
      </w:r>
    </w:p>
    <w:p w:rsidR="007A184D" w:rsidRDefault="00FC1448">
      <w:pPr>
        <w:pStyle w:val="BodyText"/>
        <w:ind w:right="109"/>
      </w:pPr>
      <w:r>
        <w:t>Treatment is guided by listening at the Vertex and listening at the RCPM.  Patient also received a HEP and postural correction as well as stabilization ex. for cervical and scapular areas. Initial evaluation was 60 minutes on 05/17/17 and she had 11 follow up visits of 60 minutes each</w:t>
      </w:r>
      <w:r>
        <w:rPr>
          <w:spacing w:val="-31"/>
        </w:rPr>
        <w:t xml:space="preserve"> </w:t>
      </w:r>
      <w:r>
        <w:t>until her discharge on</w:t>
      </w:r>
      <w:r>
        <w:rPr>
          <w:spacing w:val="-9"/>
        </w:rPr>
        <w:t xml:space="preserve"> </w:t>
      </w:r>
      <w:r>
        <w:t>09/13/17.</w:t>
      </w:r>
    </w:p>
    <w:p w:rsidR="007A184D" w:rsidRDefault="00FC1448">
      <w:pPr>
        <w:pStyle w:val="BodyText"/>
        <w:spacing w:before="201"/>
        <w:ind w:right="818"/>
      </w:pPr>
      <w:r>
        <w:rPr>
          <w:rFonts w:ascii="Times New Roman" w:eastAsia="Times New Roman" w:hAnsi="Times New Roman" w:cs="Times New Roman"/>
        </w:rPr>
        <w:t>REASSMENT:</w:t>
      </w:r>
      <w:r>
        <w:rPr>
          <w:rFonts w:ascii="Times New Roman" w:eastAsia="Times New Roman" w:hAnsi="Times New Roman" w:cs="Times New Roman"/>
          <w:spacing w:val="-19"/>
        </w:rPr>
        <w:t xml:space="preserve"> </w:t>
      </w:r>
      <w:r>
        <w:t>Patient</w:t>
      </w:r>
      <w:r>
        <w:rPr>
          <w:spacing w:val="-17"/>
        </w:rPr>
        <w:t xml:space="preserve"> </w:t>
      </w:r>
      <w:r>
        <w:t>reported</w:t>
      </w:r>
      <w:r>
        <w:rPr>
          <w:spacing w:val="-17"/>
        </w:rPr>
        <w:t xml:space="preserve"> </w:t>
      </w:r>
      <w:r>
        <w:t>0/10</w:t>
      </w:r>
      <w:r>
        <w:rPr>
          <w:spacing w:val="-19"/>
        </w:rPr>
        <w:t xml:space="preserve"> </w:t>
      </w:r>
      <w:r>
        <w:t>pain</w:t>
      </w:r>
      <w:r>
        <w:rPr>
          <w:spacing w:val="-19"/>
        </w:rPr>
        <w:t xml:space="preserve"> </w:t>
      </w:r>
      <w:r>
        <w:t>for</w:t>
      </w:r>
      <w:r>
        <w:rPr>
          <w:spacing w:val="-19"/>
        </w:rPr>
        <w:t xml:space="preserve"> </w:t>
      </w:r>
      <w:r>
        <w:t>headache</w:t>
      </w:r>
      <w:r>
        <w:rPr>
          <w:spacing w:val="-17"/>
        </w:rPr>
        <w:t xml:space="preserve"> </w:t>
      </w:r>
      <w:r>
        <w:t>and</w:t>
      </w:r>
      <w:r>
        <w:rPr>
          <w:spacing w:val="-19"/>
        </w:rPr>
        <w:t xml:space="preserve"> </w:t>
      </w:r>
      <w:r>
        <w:t>neck</w:t>
      </w:r>
      <w:r>
        <w:rPr>
          <w:spacing w:val="-19"/>
        </w:rPr>
        <w:t xml:space="preserve"> </w:t>
      </w:r>
      <w:r>
        <w:t>with</w:t>
      </w:r>
      <w:r>
        <w:rPr>
          <w:spacing w:val="-17"/>
        </w:rPr>
        <w:t xml:space="preserve"> </w:t>
      </w:r>
      <w:r>
        <w:t>worst</w:t>
      </w:r>
      <w:r>
        <w:rPr>
          <w:spacing w:val="-15"/>
        </w:rPr>
        <w:t xml:space="preserve"> </w:t>
      </w:r>
      <w:r>
        <w:t>pain</w:t>
      </w:r>
      <w:r>
        <w:rPr>
          <w:spacing w:val="-15"/>
        </w:rPr>
        <w:t xml:space="preserve"> </w:t>
      </w:r>
      <w:r>
        <w:t>at</w:t>
      </w:r>
      <w:r>
        <w:rPr>
          <w:spacing w:val="-17"/>
        </w:rPr>
        <w:t xml:space="preserve"> </w:t>
      </w:r>
      <w:r>
        <w:t>1/10. Reassessment was done with General listening and listening at vertex, RCPM and</w:t>
      </w:r>
      <w:r>
        <w:rPr>
          <w:spacing w:val="-25"/>
        </w:rPr>
        <w:t xml:space="preserve"> </w:t>
      </w:r>
      <w:r>
        <w:t>UE’s.</w:t>
      </w:r>
    </w:p>
    <w:p w:rsidR="007A184D" w:rsidRDefault="00FC1448">
      <w:pPr>
        <w:pStyle w:val="BodyText"/>
        <w:spacing w:before="199" w:line="338" w:lineRule="auto"/>
        <w:ind w:left="820" w:right="2935"/>
      </w:pPr>
      <w:r>
        <w:t>Custom Care Connection increased to 82% after</w:t>
      </w:r>
      <w:r>
        <w:rPr>
          <w:spacing w:val="-14"/>
        </w:rPr>
        <w:t xml:space="preserve"> </w:t>
      </w:r>
      <w:r>
        <w:t>treatment. A cervical ROM:  10 degrees sub occipital</w:t>
      </w:r>
      <w:r>
        <w:rPr>
          <w:spacing w:val="-14"/>
        </w:rPr>
        <w:t xml:space="preserve"> </w:t>
      </w:r>
      <w:r>
        <w:t>nod</w:t>
      </w:r>
    </w:p>
    <w:p w:rsidR="007A184D" w:rsidRDefault="00FC1448">
      <w:pPr>
        <w:pStyle w:val="BodyText"/>
        <w:spacing w:line="338" w:lineRule="auto"/>
        <w:ind w:left="820" w:right="6454"/>
      </w:pPr>
      <w:r>
        <w:t>FB: lacks 20 degrees BB:  ¾</w:t>
      </w:r>
      <w:r>
        <w:rPr>
          <w:spacing w:val="-5"/>
        </w:rPr>
        <w:t xml:space="preserve"> </w:t>
      </w:r>
      <w:r>
        <w:t>range</w:t>
      </w:r>
    </w:p>
    <w:p w:rsidR="007A184D" w:rsidRDefault="00FC1448">
      <w:pPr>
        <w:pStyle w:val="BodyText"/>
        <w:spacing w:line="340" w:lineRule="auto"/>
        <w:ind w:left="820" w:right="5449"/>
      </w:pPr>
      <w:r>
        <w:t>Rot Rt. and Lt. were 70 degrees. A shoulder flexion to 170</w:t>
      </w:r>
      <w:r>
        <w:rPr>
          <w:spacing w:val="-11"/>
        </w:rPr>
        <w:t xml:space="preserve"> </w:t>
      </w:r>
      <w:r>
        <w:t>degrees</w:t>
      </w:r>
    </w:p>
    <w:p w:rsidR="007A184D" w:rsidRDefault="00FC1448">
      <w:pPr>
        <w:pStyle w:val="BodyText"/>
        <w:spacing w:line="338" w:lineRule="auto"/>
        <w:ind w:left="820" w:right="1713"/>
      </w:pPr>
      <w:r>
        <w:t>Seated thoracic rotation to Rt. 40 degrees and Lt. is 35 degrees Strength:  deep neck flexors 3+/</w:t>
      </w:r>
      <w:proofErr w:type="gramStart"/>
      <w:r>
        <w:t>5  Extensors</w:t>
      </w:r>
      <w:proofErr w:type="gramEnd"/>
      <w:r>
        <w:rPr>
          <w:spacing w:val="-14"/>
        </w:rPr>
        <w:t xml:space="preserve"> </w:t>
      </w:r>
      <w:r>
        <w:t>4+/5</w:t>
      </w:r>
    </w:p>
    <w:p w:rsidR="007A184D" w:rsidRDefault="00FC1448">
      <w:pPr>
        <w:pStyle w:val="BodyText"/>
        <w:spacing w:line="293" w:lineRule="exact"/>
        <w:ind w:left="820" w:right="109"/>
      </w:pPr>
      <w:r>
        <w:t>Rhomboid and mid traps 4/5 and lower traps</w:t>
      </w:r>
      <w:r>
        <w:rPr>
          <w:spacing w:val="-19"/>
        </w:rPr>
        <w:t xml:space="preserve"> </w:t>
      </w:r>
      <w:r>
        <w:t>3+/5</w:t>
      </w:r>
    </w:p>
    <w:p w:rsidR="007A184D" w:rsidRDefault="00FC1448">
      <w:pPr>
        <w:pStyle w:val="BodyText"/>
        <w:spacing w:before="199"/>
        <w:ind w:right="192"/>
      </w:pPr>
      <w:r>
        <w:rPr>
          <w:rFonts w:ascii="Times New Roman"/>
        </w:rPr>
        <w:t>Conclusion</w:t>
      </w:r>
      <w:r>
        <w:t>: Whiplash type injury following a MVA with neck pain and stiffness as well as headache pain can be treated successfully with neural manipulation techniques as guided by general, local and neural listening techniques. Patient was able to return to exercise and care of her children as well as lifting her baby without pain</w:t>
      </w:r>
      <w:r>
        <w:rPr>
          <w:spacing w:val="-20"/>
        </w:rPr>
        <w:t xml:space="preserve"> </w:t>
      </w:r>
      <w:r>
        <w:t>production.</w:t>
      </w:r>
    </w:p>
    <w:p w:rsidR="007A184D" w:rsidRDefault="00FC1448">
      <w:pPr>
        <w:pStyle w:val="BodyText"/>
        <w:spacing w:before="201"/>
        <w:ind w:right="109"/>
      </w:pPr>
      <w:r>
        <w:rPr>
          <w:rFonts w:ascii="Times New Roman"/>
        </w:rPr>
        <w:t xml:space="preserve">Treating Therapist:  </w:t>
      </w:r>
      <w:r>
        <w:t xml:space="preserve">Linda </w:t>
      </w:r>
      <w:proofErr w:type="spellStart"/>
      <w:r>
        <w:t>Keahey-Oberdorfer</w:t>
      </w:r>
      <w:proofErr w:type="spellEnd"/>
      <w:r>
        <w:t>,</w:t>
      </w:r>
      <w:r>
        <w:rPr>
          <w:spacing w:val="16"/>
        </w:rPr>
        <w:t xml:space="preserve"> </w:t>
      </w:r>
      <w:r>
        <w:t>PT</w:t>
      </w:r>
    </w:p>
    <w:p w:rsidR="007A184D" w:rsidRDefault="00FC1448">
      <w:pPr>
        <w:spacing w:before="205"/>
        <w:ind w:left="100" w:right="109"/>
        <w:rPr>
          <w:rFonts w:ascii="Times New Roman" w:eastAsia="Times New Roman" w:hAnsi="Times New Roman" w:cs="Times New Roman"/>
          <w:sz w:val="20"/>
          <w:szCs w:val="20"/>
        </w:rPr>
      </w:pPr>
      <w:r>
        <w:rPr>
          <w:rFonts w:ascii="Times New Roman"/>
          <w:w w:val="105"/>
          <w:sz w:val="20"/>
        </w:rPr>
        <w:t>References:</w:t>
      </w:r>
    </w:p>
    <w:p w:rsidR="007A184D" w:rsidRDefault="007A184D">
      <w:pPr>
        <w:spacing w:before="1"/>
        <w:rPr>
          <w:rFonts w:ascii="Times New Roman" w:eastAsia="Times New Roman" w:hAnsi="Times New Roman" w:cs="Times New Roman"/>
          <w:sz w:val="18"/>
          <w:szCs w:val="18"/>
        </w:rPr>
      </w:pPr>
    </w:p>
    <w:p w:rsidR="007A184D" w:rsidRDefault="00FC1448">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2006-2016</w:t>
      </w:r>
    </w:p>
    <w:p w:rsidR="007A184D" w:rsidRDefault="00FC1448">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7A184D" w:rsidRDefault="00FC1448">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7A184D" w:rsidRDefault="00FC1448">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t>
      </w:r>
      <w:proofErr w:type="spellStart"/>
      <w:r>
        <w:rPr>
          <w:rFonts w:ascii="Calibri"/>
          <w:sz w:val="20"/>
        </w:rPr>
        <w:t>Wa</w:t>
      </w:r>
      <w:proofErr w:type="spellEnd"/>
      <w:r>
        <w:rPr>
          <w:rFonts w:ascii="Calibri"/>
          <w:sz w:val="20"/>
        </w:rPr>
        <w:t>: Eastland Press Inc.</w:t>
      </w:r>
      <w:r>
        <w:rPr>
          <w:rFonts w:ascii="Calibri"/>
          <w:spacing w:val="-31"/>
          <w:sz w:val="20"/>
        </w:rPr>
        <w:t xml:space="preserve"> </w:t>
      </w:r>
      <w:r>
        <w:rPr>
          <w:rFonts w:ascii="Calibri"/>
          <w:sz w:val="20"/>
        </w:rPr>
        <w:t>1999</w:t>
      </w:r>
    </w:p>
    <w:sectPr w:rsidR="007A184D">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A03"/>
    <w:multiLevelType w:val="hybridMultilevel"/>
    <w:tmpl w:val="75663ADA"/>
    <w:lvl w:ilvl="0" w:tplc="2E222CE2">
      <w:start w:val="1"/>
      <w:numFmt w:val="decimal"/>
      <w:lvlText w:val="%1."/>
      <w:lvlJc w:val="left"/>
      <w:pPr>
        <w:ind w:left="505" w:hanging="360"/>
        <w:jc w:val="left"/>
      </w:pPr>
      <w:rPr>
        <w:rFonts w:ascii="Calibri" w:eastAsia="Calibri" w:hAnsi="Calibri" w:hint="default"/>
        <w:w w:val="99"/>
        <w:sz w:val="20"/>
        <w:szCs w:val="20"/>
      </w:rPr>
    </w:lvl>
    <w:lvl w:ilvl="1" w:tplc="2BA4798A">
      <w:start w:val="1"/>
      <w:numFmt w:val="bullet"/>
      <w:lvlText w:val="•"/>
      <w:lvlJc w:val="left"/>
      <w:pPr>
        <w:ind w:left="1404" w:hanging="360"/>
      </w:pPr>
      <w:rPr>
        <w:rFonts w:hint="default"/>
      </w:rPr>
    </w:lvl>
    <w:lvl w:ilvl="2" w:tplc="45A2B280">
      <w:start w:val="1"/>
      <w:numFmt w:val="bullet"/>
      <w:lvlText w:val="•"/>
      <w:lvlJc w:val="left"/>
      <w:pPr>
        <w:ind w:left="2308" w:hanging="360"/>
      </w:pPr>
      <w:rPr>
        <w:rFonts w:hint="default"/>
      </w:rPr>
    </w:lvl>
    <w:lvl w:ilvl="3" w:tplc="6D026B12">
      <w:start w:val="1"/>
      <w:numFmt w:val="bullet"/>
      <w:lvlText w:val="•"/>
      <w:lvlJc w:val="left"/>
      <w:pPr>
        <w:ind w:left="3212" w:hanging="360"/>
      </w:pPr>
      <w:rPr>
        <w:rFonts w:hint="default"/>
      </w:rPr>
    </w:lvl>
    <w:lvl w:ilvl="4" w:tplc="29AAEC18">
      <w:start w:val="1"/>
      <w:numFmt w:val="bullet"/>
      <w:lvlText w:val="•"/>
      <w:lvlJc w:val="left"/>
      <w:pPr>
        <w:ind w:left="4116" w:hanging="360"/>
      </w:pPr>
      <w:rPr>
        <w:rFonts w:hint="default"/>
      </w:rPr>
    </w:lvl>
    <w:lvl w:ilvl="5" w:tplc="0E2C062C">
      <w:start w:val="1"/>
      <w:numFmt w:val="bullet"/>
      <w:lvlText w:val="•"/>
      <w:lvlJc w:val="left"/>
      <w:pPr>
        <w:ind w:left="5020" w:hanging="360"/>
      </w:pPr>
      <w:rPr>
        <w:rFonts w:hint="default"/>
      </w:rPr>
    </w:lvl>
    <w:lvl w:ilvl="6" w:tplc="272E9C2E">
      <w:start w:val="1"/>
      <w:numFmt w:val="bullet"/>
      <w:lvlText w:val="•"/>
      <w:lvlJc w:val="left"/>
      <w:pPr>
        <w:ind w:left="5924" w:hanging="360"/>
      </w:pPr>
      <w:rPr>
        <w:rFonts w:hint="default"/>
      </w:rPr>
    </w:lvl>
    <w:lvl w:ilvl="7" w:tplc="FCE0BBAC">
      <w:start w:val="1"/>
      <w:numFmt w:val="bullet"/>
      <w:lvlText w:val="•"/>
      <w:lvlJc w:val="left"/>
      <w:pPr>
        <w:ind w:left="6828" w:hanging="360"/>
      </w:pPr>
      <w:rPr>
        <w:rFonts w:hint="default"/>
      </w:rPr>
    </w:lvl>
    <w:lvl w:ilvl="8" w:tplc="558C7240">
      <w:start w:val="1"/>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4D"/>
    <w:rsid w:val="007A184D"/>
    <w:rsid w:val="00D758FE"/>
    <w:rsid w:val="00EE05AF"/>
    <w:rsid w:val="00FC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696"/>
  <w15:docId w15:val="{0A534B90-F654-4F6E-9A3B-F2AD7DD9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00"/>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embername">
    <w:name w:val="member_name"/>
    <w:basedOn w:val="DefaultParagraphFont"/>
    <w:rsid w:val="00FC1448"/>
  </w:style>
  <w:style w:type="character" w:styleId="Hyperlink">
    <w:name w:val="Hyperlink"/>
    <w:basedOn w:val="DefaultParagraphFont"/>
    <w:uiPriority w:val="99"/>
    <w:semiHidden/>
    <w:unhideWhenUsed/>
    <w:rsid w:val="00FC1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Case Study 10.ol.sa.docx</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10.ol.sa.docx</dc:title>
  <dc:creator>lober_000</dc:creator>
  <cp:lastModifiedBy>Vicky</cp:lastModifiedBy>
  <cp:revision>4</cp:revision>
  <dcterms:created xsi:type="dcterms:W3CDTF">2018-05-24T19:21:00Z</dcterms:created>
  <dcterms:modified xsi:type="dcterms:W3CDTF">2018-05-25T15:19:00Z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